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83" w:rsidRPr="00573083" w:rsidRDefault="00573083" w:rsidP="005730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Практическая работа № 2</w:t>
      </w:r>
    </w:p>
    <w:p w:rsidR="00573083" w:rsidRPr="00573083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нормы информационной деятельности.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Стоимостные характеристики информационной деятельности. Лицензионное пр</w:t>
      </w: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граммное обеспечение. Открытые лицензии.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Обзор профессионального образования в социально-экономической деятельности, его лицензионное использование и регламенты обновления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различать программные продукты по их правовому статусу; научиться рассчит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экономический эффект от внедрения вычислительной и организационной техники</w:t>
      </w:r>
    </w:p>
    <w:p w:rsidR="00573083" w:rsidRPr="00573083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из теории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Информационное общество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общество, в котором большинство работающих связ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 информацией, организацией и использованием информационных процессов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точки зрения распространения и использования ПО делят на </w:t>
      </w:r>
      <w:proofErr w:type="gramStart"/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закрытое</w:t>
      </w:r>
      <w:proofErr w:type="gramEnd"/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(несвободное), открытое и свободное: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Закрытое (несвободное, лицензионное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— пользователь получает ограниченные права на использование такого программного продукта, даже приобретая его. Пользователь не имеет права передавать его другим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обязан использовать это ПО в рамках лице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зионного соглашения. Лицензионное соглашение, как правило, регламентирует цели применения, например, только для обучения, и место применения, например, только для домашнего компьютера. Распространять, просматривать исходный код и улучшать такие программы невозможно, что закреплено лицензионным соглашением. Нарушение лице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зионного соглашения является нарушением авторских прав и может повлечь за собой применение мер юридической ответственности. За нарушение авторских прав на пр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граммные продукты российским законодательством предусмотрена гражданско-правовая, административная и уголовная ответственность.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Открытое</w:t>
      </w:r>
      <w:proofErr w:type="gramEnd"/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имеет открытый исходный код, который позволяет любому человеку судить о методах, алгоритмах, интерфейсах и надежности программного продукта. 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крытость кода не подразумевает бесплатное распространение программы. Лицензия ог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варивает условия, на которых пользователь может изменять код программы с целью ее улучшения или использовать фрагменты кода программы в собственных разработках. Ответственность за нарушение условий лицензионного соглашения для открытого ПО аналогична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закрытому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(несвободному).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Свободное ПО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предоставляет пользователю права на неограниченную установку и з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пуск, свободное использование и изучение кода программы, его распространение и 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менение. Свободные программы так же защищены юридически, на них распространяю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законы, регламентирующие реализацию авторских прав.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принципы свободного ПО были сформулированы в 70-х годах прошлого века</w:t>
      </w:r>
      <w:proofErr w:type="gramEnd"/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Свободное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активно используется в Интернете. Например,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распространённый веб-сервер </w:t>
      </w:r>
      <w:proofErr w:type="spell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Apache</w:t>
      </w:r>
      <w:proofErr w:type="spell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свободным, Википедия работает на </w:t>
      </w:r>
      <w:proofErr w:type="spell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MediaWiki</w:t>
      </w:r>
      <w:proofErr w:type="spell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также явл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ющимся свободным проектом.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Свободное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ПО, в любом случае, может свободно устанавливаться и использоваться на любых компьютерах. Использование такого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свободно везде: в школах, офисах, вузах, на личных компьютерах и во всех организациях и учреждениях, в том числе, и на ко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мерческих и государственных.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Преимущества лицензионного и недостатки нелицензионного программного обесп</w:t>
      </w:r>
      <w:r w:rsidRPr="005730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57308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чения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Лицензионное программное обеспечение имеет ряд преимуществ:</w:t>
      </w:r>
    </w:p>
    <w:p w:rsidR="00573083" w:rsidRPr="00573083" w:rsidRDefault="00573083" w:rsidP="00573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Техническая поддержка производителя программного обеспечения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эксплу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тации приобретенного лицензионного программного обеспечения у пользователей могут возникнуть различные вопросы. Владельцы лицензионных программ имеют право воспользоваться технической поддержкой производителя программного обеспечения, что в большинстве случаев позволяет разрешить возникшие пробл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мы.</w:t>
      </w:r>
    </w:p>
    <w:p w:rsidR="00573083" w:rsidRPr="00573083" w:rsidRDefault="00573083" w:rsidP="00573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Обновление программ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Производители программного обеспечения регулярно в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пускают пакеты обновлений лицензионных программ (</w:t>
      </w:r>
      <w:proofErr w:type="spell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patch</w:t>
      </w:r>
      <w:proofErr w:type="spell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service-pack</w:t>
      </w:r>
      <w:proofErr w:type="spell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Их своевременная установка - одно из основных средств защиты персонального ко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пьютера (особенно это касается антивирусных программ). Легальные пользователи оперативно и бесплатно получают все вышедшие обновления.</w:t>
      </w:r>
    </w:p>
    <w:p w:rsidR="00573083" w:rsidRPr="00573083" w:rsidRDefault="00573083" w:rsidP="00573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Законность и престиж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Покупая нелицензионное программное обеспечение, вы нарушаете закон, так как приобретаете "ворованные" программы. Вы подвергаете себя и свой бизнес риску юридических санкций со стороны правообладателей. У организаций, использующих нелегальное программное обеспечение, возникают проблемы при проверках лицензионной чистоты программного обеспечения, кот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периодически проводят правоохранительные органы. За нарушение авторских прав в ряде случаев предусмотрена не только административная, но и уголовная ответственность. Нарушение законодательства, защищающего авторское право, может негативно отразиться на репутации компании. Нелицензионные копии пр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граммного обеспечения могут стать причиной несовместимости программ, кот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рые в обычных условиях хорошо взаимодействуют друг с другом.</w:t>
      </w:r>
    </w:p>
    <w:p w:rsidR="00573083" w:rsidRPr="00573083" w:rsidRDefault="00573083" w:rsidP="00573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ногу с техническим прогрессом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Управление программным обеспечением пом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 определить потребности компании в программном обеспечении, избежать 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устаревших программ и будет способствовать правильному выбору технологии, которая позволит компании достичь поставленных целей и преуспеть в конкурентной борьбе.</w:t>
      </w:r>
    </w:p>
    <w:p w:rsidR="00573083" w:rsidRPr="00573083" w:rsidRDefault="00573083" w:rsidP="00573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Профессиональные предпродажные консультации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Преимущества приобретения лицензионного программного обеспечения пользователи ощущают уже при его п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купке. Продажу лицензионных продуктов осуществляют сотрудники компаний - авторизованных партнеров ведущих мировых производителей программного обе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печения, квалифицированные специалисты. Покупатель может рассчитывать на 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профессиональную консультацию по выбору оптимального решения для стоящих перед ним задач.</w:t>
      </w:r>
    </w:p>
    <w:p w:rsidR="00573083" w:rsidRPr="00573083" w:rsidRDefault="00573083" w:rsidP="005730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Повышение функциональности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у вас возникнут пожелания к функционал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продукта, вы имеете возможность передать их разработчикам; ваши пожел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будут учтены при выпуске новых версий продукта.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Приобретая нелицензионное программное обеспечение, вы очень рискуете.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Административная ответственность за нарушение авторских прав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статьи 7.12 КоАП РФ 1, ввоз, продажа, сдача в прокат или иное незаконное использование экземпл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 произведений или фонограмм в целях извлечения дохода в случаях, если экземпляры произведений или фонограмм являются контрафактными: влечет наложение админ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стративного штрафа: на юридических лиц - от 300 до 400 МРОТ с конфискацией контр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фактных экземпляров, произведений и фонограмм, а также материалов и оборудования, используемых для их воспроизведения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иных орудий совершения административного правонарушения.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Уголовная ответственность за нарушение авторских прав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статьи 146 УК РФ (часть 2), незаконное использование объектов авторского права или смежных прав, а равно приобретение, хранение, перевозка контрафактных экземпляров произведений или фонограмм в целях сбыта, совершенные в крупном размере, наказываются штрафом в размере от 200 до 400 МРОТ или в размере заработной платы или иного дохода осу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денного за период от двух до четырех месяцев, либо обязательными работами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срок от 180 до 240 часов, либо лишением свободы на срок до двух лет.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использовании нелицензионного, то есть измененной пиратами версии, програм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продукта, могут возникнуть ряд проблем: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Некорректная работа программы. Взломанная программ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а–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изменённая пр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грамма, после изменений не прошедшая цикл тестирования.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Нестабильная работа компьютера в целом.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с подключением периферии (неполный набор драйверов устройств).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файла справки, документации, руководства.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Невозможность установки обновлений.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технической поддержки продукта со стороны разработчика.</w:t>
      </w:r>
    </w:p>
    <w:p w:rsidR="00573083" w:rsidRPr="00573083" w:rsidRDefault="00573083" w:rsidP="005730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заражения компьютерными вирусами (от частичной потери данных до полной утраты содержимого жёсткого диска) или другими вредоносными пр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граммами.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Информационный продукт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результат деятельности человека, представленный на мат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риальном носителе.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Информационная услуга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получение и предоставление в распоряжение пользователя 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формационного продукта.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Представьте, что руководитель решил увеличить производительность труда на своем предприятии за счет внедрения в него информационных технологий. Как вы думаете, п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 ли это капитальных вложений?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т.к. необходимо будет приобрести компьютерную технику, программное обеспеч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и </w:t>
      </w:r>
      <w:proofErr w:type="spell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д.р</w:t>
      </w:r>
      <w:proofErr w:type="spell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Внедрению информационных технологий должно предшествовать экономическое обо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нование, чтобы рассчитать целесообразно (выгодно) ли будет внедрение информацио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должна быть рассчитана эффективность применения информационных технологий.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 </w:t>
      </w: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эффективностью автоматизированного преобразования информации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понимают целесообразность применения средств вычислительной техники при формировании, п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редаче и обработке данных.</w:t>
      </w:r>
    </w:p>
    <w:p w:rsidR="00573083" w:rsidRPr="003702B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Различают расчетную и фактическую эффективность.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Расчетная эффективность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определяется до внедрения информационных технологий еще на стадии только проектирования, а </w:t>
      </w:r>
      <w:r w:rsidRPr="00573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фактическая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рассчитывается по результатам внедрения информационных в результате сокращения численности персонала, уменьш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расхода основных и вспомогательных материалов, </w:t>
      </w:r>
      <w:proofErr w:type="spell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вследствии</w:t>
      </w:r>
      <w:proofErr w:type="spell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автоматизации ко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кретных видов информационных работ.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эффект от внедрения вычислительной и организационной техники по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разделяют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экономия материально-трудовых ресурсов и денежных средств;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косвенный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проявляется в конечных результатах деятельности организаций.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рассчитать экономическую эффективность используют абсолютные и относ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показатели. Например, на ручную обработку документов следует затратить 100 чел./час. (T0), а при использовании информационных технологий - 10 чел./час. (T1).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Экономическую эффективность определяют с помощью трудовых и стоимостных пок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зателей. При расчетах используют метод сопоставления базисного и отчетного периодов.</w:t>
      </w:r>
    </w:p>
    <w:p w:rsidR="009366AB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6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Базисный период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 внедрения информационных технологий, 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6A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отчетный период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после внедрения информационных технологий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будет равен абсолютный показатель экономической эффективности в нашем пр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мере? Относительный индекс производительности труда?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Абсолютный показатель экономической эффективности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 составляет TЭК = T0 – T1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означает относительный индекс?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– 10 = 90 чел./час.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Используя индекс производительности труда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определить относительный п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казатель экономии трудовых затрат. На нашем примере при использовании информац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технологии, сколько процентов составит экономия?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10/100=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0,10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для обработки документов при автоматизации требуется по сра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нению с ручной обработкой только 10 % времени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трудовыми показателями, рассчитываются и стоимостные показатели, т.е. определяются затраты (в денежном выражении) на обработку информации при базисном (C0) и отчетном (C1) вариантах.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Чему равен абсолютный показатель стоимости и индекс стоимости затрат? 90 %</w:t>
      </w:r>
    </w:p>
    <w:p w:rsidR="003D0C42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Абсолютный показатель стоимости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ЭК 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определяется соотношением: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ЭК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C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C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0.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D0C42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 стоимости затрат рассчитывается по формуле J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СТ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.З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АТ 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 C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1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C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0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ОК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= К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N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ЭК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3083" w:rsidRPr="00573083" w:rsidRDefault="00573083" w:rsidP="0057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К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N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затраты на создание проекта</w:t>
      </w:r>
    </w:p>
    <w:p w:rsidR="00573083" w:rsidRPr="002A1595" w:rsidRDefault="00573083" w:rsidP="0057308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2A1595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Порядок выполнения работы</w:t>
      </w:r>
    </w:p>
    <w:p w:rsidR="00573083" w:rsidRPr="00573083" w:rsidRDefault="00573083" w:rsidP="005730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сведения из теории</w:t>
      </w:r>
    </w:p>
    <w:p w:rsidR="00573083" w:rsidRPr="00573083" w:rsidRDefault="00573083" w:rsidP="005730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задания</w:t>
      </w:r>
    </w:p>
    <w:p w:rsidR="00573083" w:rsidRPr="00573083" w:rsidRDefault="00573083" w:rsidP="005730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отчет по работе</w:t>
      </w:r>
    </w:p>
    <w:p w:rsidR="00573083" w:rsidRPr="00573083" w:rsidRDefault="00573083" w:rsidP="005730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ответы на контрольные вопросы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</w:t>
      </w:r>
      <w:proofErr w:type="gramStart"/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основании предложенных данных рассчитать трудовые, стоимостные показатели, а также срок окупаемости затрат. Исходные данные представлены в таблицах 2.1 и 2.2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2.1 - Затраты на создание проекта:</w:t>
      </w:r>
    </w:p>
    <w:tbl>
      <w:tblPr>
        <w:tblW w:w="5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485"/>
        <w:gridCol w:w="1717"/>
      </w:tblGrid>
      <w:tr w:rsidR="00573083" w:rsidRPr="00573083" w:rsidTr="0057308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Сумма, руб.</w:t>
            </w:r>
          </w:p>
        </w:tc>
      </w:tr>
      <w:tr w:rsidR="00573083" w:rsidRPr="00573083" w:rsidTr="0057308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Лицензия на использование программного обеспечения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30000,00</w:t>
            </w:r>
          </w:p>
        </w:tc>
      </w:tr>
      <w:tr w:rsidR="00573083" w:rsidRPr="00573083" w:rsidTr="0057308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оборудования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825000,00</w:t>
            </w:r>
          </w:p>
        </w:tc>
      </w:tr>
      <w:tr w:rsidR="00573083" w:rsidRPr="00573083" w:rsidTr="00573083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Фонд премий сотрудникам, участвующим в проекте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100000,00</w:t>
            </w:r>
          </w:p>
        </w:tc>
      </w:tr>
      <w:tr w:rsidR="00573083" w:rsidRPr="00573083" w:rsidTr="00573083">
        <w:tc>
          <w:tcPr>
            <w:tcW w:w="41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2.2 - Затраты за год:</w:t>
      </w:r>
    </w:p>
    <w:tbl>
      <w:tblPr>
        <w:tblW w:w="68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491"/>
      </w:tblGrid>
      <w:tr w:rsidR="00573083" w:rsidRPr="00573083" w:rsidTr="00637225"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Базисный период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трудовые затраты</w:t>
            </w:r>
          </w:p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стоимостные затраты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7500 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чел/час</w:t>
            </w:r>
          </w:p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650000 руб.</w:t>
            </w:r>
          </w:p>
        </w:tc>
      </w:tr>
      <w:tr w:rsidR="00573083" w:rsidRPr="00573083" w:rsidTr="00637225">
        <w:tc>
          <w:tcPr>
            <w:tcW w:w="5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Отчетный период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трудовые затраты</w:t>
            </w:r>
          </w:p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стоимостные затраты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 чел/час</w:t>
            </w:r>
          </w:p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300000 руб.</w:t>
            </w:r>
          </w:p>
        </w:tc>
      </w:tr>
    </w:tbl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Заполните таблицу 2.3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2.3 – Расчет абсолютных и относительных показателей</w:t>
      </w:r>
    </w:p>
    <w:tbl>
      <w:tblPr>
        <w:tblW w:w="6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1317"/>
        <w:gridCol w:w="1530"/>
        <w:gridCol w:w="1546"/>
        <w:gridCol w:w="1760"/>
        <w:gridCol w:w="2154"/>
      </w:tblGrid>
      <w:tr w:rsidR="00573083" w:rsidRPr="00573083" w:rsidTr="00573083"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Затраты</w:t>
            </w: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Абсолютные цели затрат</w:t>
            </w:r>
          </w:p>
        </w:tc>
        <w:tc>
          <w:tcPr>
            <w:tcW w:w="1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Относительные цели затрат</w:t>
            </w:r>
          </w:p>
        </w:tc>
      </w:tr>
      <w:tr w:rsidR="00573083" w:rsidRPr="00573083" w:rsidTr="0057308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Базисная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Проектная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73083" w:rsidRPr="00573083" w:rsidTr="00573083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Трудоемкость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7500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  <w:tr w:rsidR="00573083" w:rsidRPr="00573083" w:rsidTr="00573083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650000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300000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3083" w:rsidRPr="00573083" w:rsidRDefault="00573083" w:rsidP="00573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</w:tr>
    </w:tbl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Значения ячеек, где стоят «?» рассчитать: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 = 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Базисная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Проектная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Абсолютные цели затрат = Изменения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Относительные цели затрат = Проектная / Базисная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Вычислите, сколько лет потребуется на окупаемость проекта: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окупаемости</w:t>
      </w:r>
      <w:proofErr w:type="gramStart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И</w:t>
      </w:r>
      <w:proofErr w:type="gramEnd"/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 затрат на создание проекта / Изменения (стоимость)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из таблицы 2.4 технические средства и информационные ресурсы</w:t>
      </w:r>
      <w:r w:rsidR="007B5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которые: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будут вам необходимы в процессе обучения;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относятся к области вашей профессиональной деятельности.</w:t>
      </w:r>
    </w:p>
    <w:p w:rsidR="00573083" w:rsidRPr="00573083" w:rsidRDefault="00573083" w:rsidP="005730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3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2.4. Информационные ресурсы в профессиональной деятельности</w:t>
      </w:r>
    </w:p>
    <w:tbl>
      <w:tblPr>
        <w:tblW w:w="9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956"/>
        <w:gridCol w:w="2550"/>
        <w:gridCol w:w="2468"/>
      </w:tblGrid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54" w:rsidRDefault="00573083" w:rsidP="000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3"/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Область</w:t>
            </w:r>
          </w:p>
          <w:p w:rsidR="00573083" w:rsidRPr="00573083" w:rsidRDefault="00573083" w:rsidP="000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</w:t>
            </w: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</w:t>
            </w: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0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52B54" w:rsidRDefault="00573083" w:rsidP="000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Технические</w:t>
            </w:r>
          </w:p>
          <w:p w:rsidR="00573083" w:rsidRPr="00573083" w:rsidRDefault="00573083" w:rsidP="000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</w:t>
            </w: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ства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73083" w:rsidRPr="00573083" w:rsidRDefault="00573083" w:rsidP="0005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Информационные ресурсы</w:t>
            </w:r>
          </w:p>
        </w:tc>
      </w:tr>
      <w:bookmarkEnd w:id="0"/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 ма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совой инфо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мации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Журналисты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Телевидение, р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дио, телекоммун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кации, компьют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ры, компьютерные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Интернет, эле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тронная почта, библиотеки, арх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</w:t>
            </w:r>
          </w:p>
        </w:tc>
      </w:tr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Почта, тел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граф, телеф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Служащие, инженеры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Традиционный транспорт, тел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граф, телефонные сети, компьюте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Базы данных (БД)</w:t>
            </w:r>
          </w:p>
        </w:tc>
      </w:tr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Ученые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Телекоммуникации, компьютеры и устройства вв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да/вывода и ото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ражения информ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аудио-видеосистемы, с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мультим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диа, компьютерные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Библиотеки, арх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вы, БД, базы зн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ний (БЗ), экспер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системы, 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тернет</w:t>
            </w:r>
          </w:p>
        </w:tc>
      </w:tr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Телекоммуникации, компьютеры, ко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пьютерные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Библиотеки, п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тенты, БД, БЗ, эк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пертные системы, интернет</w:t>
            </w:r>
          </w:p>
        </w:tc>
      </w:tr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Менеджеры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системы, телеко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муникации, комп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ютеры, компьюте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БД, БЗ, экспертные системы</w:t>
            </w:r>
          </w:p>
        </w:tc>
      </w:tr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системы, телеко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муникации, комп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ютеры и устройства ввода/вывода и отображения 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формации, аудио-видеосистемы, с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стемы мультим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диа, компьютерные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Библиотеки, 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тернет, электро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 почта</w:t>
            </w:r>
          </w:p>
        </w:tc>
      </w:tr>
      <w:tr w:rsidR="00573083" w:rsidRPr="00573083" w:rsidTr="00052B54"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Писатели, х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дожники, 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зыканты, д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зайнеры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Компьютеры и устройства вв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да/вывода и ото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ражения информ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ции, аудио-видеосистемы, с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стемы мультим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диа, телекоммун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кации, компьюте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сети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573083" w:rsidRPr="00573083" w:rsidRDefault="00573083" w:rsidP="00573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30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Библиотеки, музеи, интернет</w:t>
            </w:r>
          </w:p>
        </w:tc>
      </w:tr>
    </w:tbl>
    <w:p w:rsidR="00573083" w:rsidRPr="00573083" w:rsidRDefault="00573083" w:rsidP="00573083">
      <w:pPr>
        <w:pStyle w:val="1"/>
        <w:jc w:val="center"/>
        <w:rPr>
          <w:b w:val="0"/>
          <w:bCs w:val="0"/>
          <w:color w:val="000000"/>
          <w:sz w:val="28"/>
          <w:szCs w:val="28"/>
        </w:rPr>
      </w:pPr>
      <w:r w:rsidRPr="00573083">
        <w:rPr>
          <w:b w:val="0"/>
          <w:bCs w:val="0"/>
          <w:color w:val="000000"/>
          <w:sz w:val="28"/>
          <w:szCs w:val="28"/>
        </w:rPr>
        <w:lastRenderedPageBreak/>
        <w:t>Контрольные вопросы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Что такое Информационное общество?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Какие программы называют лицензионными? В чем их отличие от свободно ра</w:t>
      </w:r>
      <w:r w:rsidRPr="00573083">
        <w:rPr>
          <w:color w:val="000000"/>
          <w:sz w:val="28"/>
          <w:szCs w:val="28"/>
        </w:rPr>
        <w:t>с</w:t>
      </w:r>
      <w:r w:rsidRPr="00573083">
        <w:rPr>
          <w:color w:val="000000"/>
          <w:sz w:val="28"/>
          <w:szCs w:val="28"/>
        </w:rPr>
        <w:t>пространяемых программ?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Что подразумевают под понятием «</w:t>
      </w:r>
      <w:proofErr w:type="gramStart"/>
      <w:r w:rsidRPr="00573083">
        <w:rPr>
          <w:color w:val="000000"/>
          <w:sz w:val="28"/>
          <w:szCs w:val="28"/>
        </w:rPr>
        <w:t>Открытое</w:t>
      </w:r>
      <w:proofErr w:type="gramEnd"/>
      <w:r w:rsidRPr="00573083">
        <w:rPr>
          <w:color w:val="000000"/>
          <w:sz w:val="28"/>
          <w:szCs w:val="28"/>
        </w:rPr>
        <w:t xml:space="preserve"> ПО»?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Почему компьютерное пиратство наносит ущерб обществу?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 xml:space="preserve">Какие меры наказания предусмотрены за нарушение авторских прав </w:t>
      </w:r>
      <w:proofErr w:type="gramStart"/>
      <w:r w:rsidRPr="00573083">
        <w:rPr>
          <w:color w:val="000000"/>
          <w:sz w:val="28"/>
          <w:szCs w:val="28"/>
        </w:rPr>
        <w:t>на</w:t>
      </w:r>
      <w:proofErr w:type="gramEnd"/>
      <w:r w:rsidRPr="00573083">
        <w:rPr>
          <w:color w:val="000000"/>
          <w:sz w:val="28"/>
          <w:szCs w:val="28"/>
        </w:rPr>
        <w:t xml:space="preserve"> ПО?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Раскройте понятие Информационный продукт.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Раскройте понятие Информационная услуга.</w:t>
      </w:r>
    </w:p>
    <w:p w:rsidR="00573083" w:rsidRPr="00573083" w:rsidRDefault="00573083" w:rsidP="0057308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573083">
        <w:rPr>
          <w:color w:val="000000"/>
          <w:sz w:val="28"/>
          <w:szCs w:val="28"/>
        </w:rPr>
        <w:t>Что понимают под эффективностью автоматизированного преобразования инфо</w:t>
      </w:r>
      <w:r w:rsidRPr="00573083">
        <w:rPr>
          <w:color w:val="000000"/>
          <w:sz w:val="28"/>
          <w:szCs w:val="28"/>
        </w:rPr>
        <w:t>р</w:t>
      </w:r>
      <w:r w:rsidRPr="00573083">
        <w:rPr>
          <w:color w:val="000000"/>
          <w:sz w:val="28"/>
          <w:szCs w:val="28"/>
        </w:rPr>
        <w:t>мации?</w:t>
      </w:r>
    </w:p>
    <w:p w:rsidR="00FA1C7C" w:rsidRPr="00573083" w:rsidRDefault="00052B54">
      <w:pPr>
        <w:rPr>
          <w:rFonts w:ascii="Times New Roman" w:hAnsi="Times New Roman" w:cs="Times New Roman"/>
          <w:sz w:val="28"/>
          <w:szCs w:val="28"/>
        </w:rPr>
      </w:pPr>
    </w:p>
    <w:sectPr w:rsidR="00FA1C7C" w:rsidRPr="00573083" w:rsidSect="00573083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C4" w:rsidRDefault="00A207C4" w:rsidP="00573083">
      <w:pPr>
        <w:spacing w:after="0" w:line="240" w:lineRule="auto"/>
      </w:pPr>
      <w:r>
        <w:separator/>
      </w:r>
    </w:p>
  </w:endnote>
  <w:endnote w:type="continuationSeparator" w:id="0">
    <w:p w:rsidR="00A207C4" w:rsidRDefault="00A207C4" w:rsidP="0057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397261"/>
      <w:docPartObj>
        <w:docPartGallery w:val="Page Numbers (Bottom of Page)"/>
        <w:docPartUnique/>
      </w:docPartObj>
    </w:sdtPr>
    <w:sdtEndPr/>
    <w:sdtContent>
      <w:p w:rsidR="00573083" w:rsidRDefault="005730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B54">
          <w:rPr>
            <w:noProof/>
          </w:rPr>
          <w:t>6</w:t>
        </w:r>
        <w:r>
          <w:fldChar w:fldCharType="end"/>
        </w:r>
      </w:p>
    </w:sdtContent>
  </w:sdt>
  <w:p w:rsidR="00573083" w:rsidRDefault="005730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C4" w:rsidRDefault="00A207C4" w:rsidP="00573083">
      <w:pPr>
        <w:spacing w:after="0" w:line="240" w:lineRule="auto"/>
      </w:pPr>
      <w:r>
        <w:separator/>
      </w:r>
    </w:p>
  </w:footnote>
  <w:footnote w:type="continuationSeparator" w:id="0">
    <w:p w:rsidR="00A207C4" w:rsidRDefault="00A207C4" w:rsidP="0057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DE8"/>
    <w:multiLevelType w:val="multilevel"/>
    <w:tmpl w:val="C3D8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37168"/>
    <w:multiLevelType w:val="multilevel"/>
    <w:tmpl w:val="D2A4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F5E68"/>
    <w:multiLevelType w:val="multilevel"/>
    <w:tmpl w:val="2640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466F5"/>
    <w:multiLevelType w:val="multilevel"/>
    <w:tmpl w:val="2BEA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4B723D"/>
    <w:multiLevelType w:val="multilevel"/>
    <w:tmpl w:val="A1DA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83"/>
    <w:rsid w:val="00052B54"/>
    <w:rsid w:val="002A1595"/>
    <w:rsid w:val="002B6AB5"/>
    <w:rsid w:val="003702B3"/>
    <w:rsid w:val="003D0C42"/>
    <w:rsid w:val="00573083"/>
    <w:rsid w:val="005A1AE7"/>
    <w:rsid w:val="005F52CA"/>
    <w:rsid w:val="00637225"/>
    <w:rsid w:val="0069618B"/>
    <w:rsid w:val="007B503E"/>
    <w:rsid w:val="00874F64"/>
    <w:rsid w:val="008C18B8"/>
    <w:rsid w:val="009366AB"/>
    <w:rsid w:val="009A14E8"/>
    <w:rsid w:val="00A207C4"/>
    <w:rsid w:val="00FA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083"/>
    <w:rPr>
      <w:b/>
      <w:bCs/>
    </w:rPr>
  </w:style>
  <w:style w:type="paragraph" w:styleId="a5">
    <w:name w:val="header"/>
    <w:basedOn w:val="a"/>
    <w:link w:val="a6"/>
    <w:uiPriority w:val="99"/>
    <w:unhideWhenUsed/>
    <w:rsid w:val="0057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3083"/>
  </w:style>
  <w:style w:type="paragraph" w:styleId="a7">
    <w:name w:val="footer"/>
    <w:basedOn w:val="a"/>
    <w:link w:val="a8"/>
    <w:uiPriority w:val="99"/>
    <w:unhideWhenUsed/>
    <w:rsid w:val="0057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3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3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0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7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3083"/>
    <w:rPr>
      <w:b/>
      <w:bCs/>
    </w:rPr>
  </w:style>
  <w:style w:type="paragraph" w:styleId="a5">
    <w:name w:val="header"/>
    <w:basedOn w:val="a"/>
    <w:link w:val="a6"/>
    <w:uiPriority w:val="99"/>
    <w:unhideWhenUsed/>
    <w:rsid w:val="0057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3083"/>
  </w:style>
  <w:style w:type="paragraph" w:styleId="a7">
    <w:name w:val="footer"/>
    <w:basedOn w:val="a"/>
    <w:link w:val="a8"/>
    <w:uiPriority w:val="99"/>
    <w:unhideWhenUsed/>
    <w:rsid w:val="0057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Стогова_ЛА</cp:lastModifiedBy>
  <cp:revision>11</cp:revision>
  <dcterms:created xsi:type="dcterms:W3CDTF">2018-09-19T13:10:00Z</dcterms:created>
  <dcterms:modified xsi:type="dcterms:W3CDTF">2018-09-21T06:37:00Z</dcterms:modified>
</cp:coreProperties>
</file>